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288</w:t>
      </w:r>
    </w:p>
    <w:p>
      <w:r>
        <w:t>Bundesgericht (BGE), 1966-10-07, DE</w:t>
      </w:r>
    </w:p>
    <w:p>
      <w:r>
        <w:rPr>
          <w:b/>
        </w:rPr>
        <w:t xml:space="preserve">Quelle: </w:t>
      </w:r>
      <w:r>
        <w:t>https://mcp.opencaselaw.ch/entscheid/bge_92 I 288</w:t>
      </w:r>
    </w:p>
    <w:p>
      <w:r>
        <w:t>FR: ATF 92 I 288</w:t>
      </w:r>
    </w:p>
    <w:p>
      <w:r>
        <w:t>IT: DTF 92 I 288</w:t>
      </w:r>
    </w:p>
    <w:p>
      <w:pPr>
        <w:pStyle w:val="Heading2"/>
      </w:pPr>
      <w:r>
        <w:t>Regeste</w:t>
      </w:r>
    </w:p>
    <w:p>
      <w:r>
        <w:t>Regeste Art. 42 WStB. Aufgabe der Erwerbstätigkeit innerhalb einer Berechnungsperiode. 1. Fallen die Begründung und die Begleichung eines Honoraranspruches in verschiedene Berechnungsperioden, so kann das Einkommen nur einer allein zugerechnet werden (Erw. 2). 2. Tragweite des Entscheides eines Steuerpflichtigen, das Einkommen im Zeitpunkt der Zahlungseingänge zu versteuern (Erw. 3). 3. Wann ist die Veränderung des Einkommens eines Selbständigerwerbenden dauernd? (Erw. 4).</w:t>
      </w:r>
    </w:p>
    <w:p>
      <w:pPr>
        <w:pStyle w:val="Heading2"/>
      </w:pPr>
      <w:r>
        <w:t>Erwägungen</w:t>
      </w:r>
    </w:p>
    <w:p>
      <w:r>
        <w:rPr>
          <w:b/>
        </w:rPr>
        <w:t>E. 1</w:t>
      </w:r>
    </w:p>
    <w:p>
      <w:r>
        <w:t>Nach Art. 42 WStB hat der Steuerpflichtige Anspruch auf Besteuerung nach den neuen Verhältnissen, wenn sich das Einkommen "im Laufe der Berechnungsperiode" aus Gründen, die ausdrücklich genannt sind und zu denen auch die "Aufgabe der Erwerbstätigkeit" gehört, "dauernd verändert" hat. Unbestritten ist, dass der Beschwerdeführer die Erwerbstätigkeit gegen Ende des Jahres 1959, also während der Berechnungsperiode, aufgegeben hat. Umstritten ist bloss die andere Voraussetzung der Gegenwartsbesteuerung, nämlich die dauernde Veränderung des Einkommens während der Berechnungsperiode.</w:t>
      </w:r>
    </w:p>
    <w:p>
      <w:r>
        <w:rPr>
          <w:b/>
        </w:rPr>
        <w:t>E. 2</w:t>
      </w:r>
    </w:p>
    <w:p>
      <w:r>
        <w:t>Die Beurteilung dieses Streitpunktes hängt zunächst davon ab, ob man als "Einkommen im Sinne des Art. 42 WStB" die ausbezahlten Honorare betrachtet, oder ob man die Begründung der Guthaben, die mit den Honorarzahlungen BGE 92 I 288 S. 291 beglichen wurden, als das entscheidende Merkmal des versteuerbaren Einkommens betrachtet. In der ersten Annahme sind die Honorarzahlungen, die der Beschwerdeführer in den Jahren 1959 und 1960 empfangen hat, als Einkommen dieser Jahre zu betrachten, in der zweiten dagegen handelt es sich um Einkommen der Vorjahre. a) Bei der Begründung der Forderung und bei der späteren Zahlung sind dem Steuerpflichtigen Rechte zugeflossen. Er ist aber nur einmal bereichert worden; steuerbares Einkommen kann daher nur einmal angenommen werden. Fallen die beiden Phasen, wie hier, in verschiedene Berechnungsperioden, so kann das Einkommen nur einer Berechnungsperiode, unter Ausschluss der andern, zugerechnet werden ( BGE 73 I 142 ). Vorherrschend ist in solchen Fällen, namentlich bei buchführenden Steuerpflichtigen, die Besteuerung bei der Begründung des festen Anspruches. Das ist der Zeitpunkt, in dem der Steuerpflichtige für die von ihm erbrachten Leistungen Rechnung stellt und sie bucht (KÄNZIG, Wehrsteuer, N. 17 zu Art. 21). Zeichnet indessen der Freierwerbende in seinen Büchern nur die Geschäftseinnahmen auf, so wird üblicherweise hierauf auch bei der Besteuerung abgestellt. Bei nicht buchführenden Steuerpflichtigen ist es grundsätzlich nicht anders. Die Besteuerung im Zeitpunkt der Zahlungseingänge ist insbesondere im Baugewerbe angezeigt, da selbst buchführende Gewerbegenossen Gewinne aus nur teilweise erfüllten Werkverträgen regelmässig nicht verbuchen. Auch der im Baugewerbe übliche Garantierückhalt des Auftraggebers von 10% (vgl. Art. 45 Abs. 2 der Honorarordnung für Maschinen- und Elektro-Ingenieure sowie verwandte Berufe des Schweiz. Ingenieur- und Architektenvereins) spricht für diese Lösung. Das gegenteilige Vorgehen wäre für den steuerpflichtigen Baufachmann besonders dann nachteilig, wenn er in heiklen Auseinandersetzungen oder Prozessen sein Guthaben erst erkämpfen muss, was Jahre dauern kann. b) Im vorliegenden Fall hat der als Ingenieur tätig gewesene Beschwerdeführer nie den Erwerb von Forderungsrechten gegenüber der eidg. Amtsstelle deklariert. Er hat jeweils ausschliesslich die in den Berechnungsjahren eingegangenen Zahlungen angegeben. Der Fiskus hat sich in Anlehnung an die oben dargelegten Grundsätze mit dieser Ordnung abgefunden.</w:t>
      </w:r>
    </w:p>
    <w:p>
      <w:r>
        <w:rPr>
          <w:b/>
        </w:rPr>
        <w:t>E. 3</w:t>
      </w:r>
    </w:p>
    <w:p>
      <w:r>
        <w:t>Hat sich der Steuerpflichtige für die Besteuerung seines BGE 92 I 288 S. 292 Einkommens im Zeitpunkt der Zahlungseingänge entschieden, so ist die von ihm getroffene Wahl zu seinen Gunsten und Ungunsten folgerichtig durchzuführen (vgl. BOSSHARD, Der steuerrechtliche Einkommensbegriff, ZBl 1946 S. 309; derselbe: Die neue zürcherische Einkommens- und Vermögenssteuer, S. 84). Der Beschwerdeführer hat bei seiner Pensionierung im Jahre 1951 die Besteuerung nach den eingegangenen Zahlungen gewählt und jahrelang die Vorzüge seines Entscheids für sich in Anspruch genommen. Er kann nun nicht in einem für ihn günstigen Augenblick das System wechseln und erklären, die Zahlungen, die er 1959 und 1960 empfangen habe, seien in Wirklichkeit früher verdient worden. Selbst wenn dies richtig sein sollte, sind diese Zahlungen, entsprechend der von ihm gewünschten Besteuerung im Zeitpunkt der Zahlungseingänge, Einkommen der Jahre 1959 und 1960.</w:t>
      </w:r>
    </w:p>
    <w:p>
      <w:r>
        <w:rPr>
          <w:b/>
        </w:rPr>
        <w:t>E. 4</w:t>
      </w:r>
    </w:p>
    <w:p>
      <w:r>
        <w:t>Damit ist die Frage, ob sich das Einkommen des Beschwerdeführers in diesen beiden Jahren infolge Aufgabe der Erwerbstätigkeit dauernd verändert habe, noch nicht entschieden. Zunächst fällt auf, dass das Einkommen im Jahre 1959 sprunghaft angestiegen, 1960 ebenso sprunghaft zurückgegangen ist. Wie sich aus den Erklärungen des Beschwerdeführers und der eidg. Amtsstelle ergibt, ist die Ursache dieser Schwankungen aber nicht in der Arbeitsleistung des Steuerpflichtigen, sondern bei seinem Auftraggeber zu suchen. Im Jahre 1959 wurden ihm zahlreiche Garantierückhalte bezahlt. Bei einem Selbständigerwerbenden, der lediglich die Eingänge versteuert, sind Unterschiede, wie sie in den beiden Berechnungsjahren 1959 und 1960 zutage getreten sind, nicht aussergewöhnlich. Das trifft erst recht zu für die Differenzen des Durchschnitts der Berechnungsperiode gegenüber den früheren Berechnungsperioden und gegenüber der folgenden Berechnungsperiode. Klar ist indessen, dass die ausserordentliche Höhe der Einnahmen in den Jahren 1959 und 1960 keine dauernde Veränderung des Einkommens darstellt. Der Vergleich mit dem stark zurückgegangenen Ertrag der beiden folgenden Jahre zeigt das eindeutig. Damit fehlt es an einer Voraussetzung für die Anwendung des Art. 42 WStB, weshalb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